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720" w:rsidRDefault="00BF6720" w:rsidP="00BF6720">
      <w:pPr>
        <w:spacing w:after="200"/>
        <w:ind w:left="720" w:right="720"/>
        <w:jc w:val="center"/>
        <w:rPr>
          <w:rFonts w:ascii="Arial" w:hAnsi="Arial" w:cs="Arial"/>
          <w:bCs/>
          <w:sz w:val="20"/>
          <w:szCs w:val="20"/>
        </w:rPr>
      </w:pPr>
      <w:bookmarkStart w:id="0" w:name="_GoBack"/>
      <w:bookmarkEnd w:id="0"/>
      <w:r w:rsidRPr="00BF6720">
        <w:rPr>
          <w:rFonts w:ascii="Arial" w:hAnsi="Arial" w:cs="Arial"/>
          <w:bCs/>
          <w:noProof/>
          <w:sz w:val="20"/>
          <w:szCs w:val="20"/>
        </w:rPr>
        <w:drawing>
          <wp:inline distT="0" distB="0" distL="0" distR="0">
            <wp:extent cx="3621405" cy="359410"/>
            <wp:effectExtent l="19050" t="0" r="0" b="0"/>
            <wp:docPr id="5" name="Picture 5" descr="Small 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all SIC logo"/>
                    <pic:cNvPicPr>
                      <a:picLocks noChangeAspect="1" noChangeArrowheads="1"/>
                    </pic:cNvPicPr>
                  </pic:nvPicPr>
                  <pic:blipFill>
                    <a:blip r:embed="rId7" cstate="print"/>
                    <a:srcRect/>
                    <a:stretch>
                      <a:fillRect/>
                    </a:stretch>
                  </pic:blipFill>
                  <pic:spPr bwMode="auto">
                    <a:xfrm>
                      <a:off x="0" y="0"/>
                      <a:ext cx="3621405" cy="359410"/>
                    </a:xfrm>
                    <a:prstGeom prst="rect">
                      <a:avLst/>
                    </a:prstGeom>
                    <a:noFill/>
                    <a:ln w="9525">
                      <a:noFill/>
                      <a:miter lim="800000"/>
                      <a:headEnd/>
                      <a:tailEnd/>
                    </a:ln>
                  </pic:spPr>
                </pic:pic>
              </a:graphicData>
            </a:graphic>
          </wp:inline>
        </w:drawing>
      </w:r>
    </w:p>
    <w:p w:rsidR="00BF6720" w:rsidRPr="00BF6720" w:rsidRDefault="00BF6720" w:rsidP="00BF6720">
      <w:pPr>
        <w:spacing w:after="160"/>
        <w:ind w:left="720" w:right="720"/>
        <w:jc w:val="center"/>
        <w:rPr>
          <w:rFonts w:ascii="Arial" w:hAnsi="Arial" w:cs="Arial"/>
          <w:bCs/>
          <w:sz w:val="20"/>
          <w:szCs w:val="20"/>
        </w:rPr>
      </w:pPr>
      <w:r w:rsidRPr="00BF6720">
        <w:rPr>
          <w:rFonts w:ascii="Arial" w:hAnsi="Arial" w:cs="Arial"/>
          <w:bCs/>
          <w:noProof/>
          <w:sz w:val="20"/>
          <w:szCs w:val="20"/>
        </w:rPr>
        <w:drawing>
          <wp:inline distT="0" distB="0" distL="0" distR="0">
            <wp:extent cx="3025775" cy="241300"/>
            <wp:effectExtent l="19050" t="0" r="3175" b="0"/>
            <wp:docPr id="6" name="Picture 6" descr="SIN Name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N Name Only"/>
                    <pic:cNvPicPr>
                      <a:picLocks noChangeAspect="1" noChangeArrowheads="1"/>
                    </pic:cNvPicPr>
                  </pic:nvPicPr>
                  <pic:blipFill>
                    <a:blip r:embed="rId8" cstate="print"/>
                    <a:srcRect/>
                    <a:stretch>
                      <a:fillRect/>
                    </a:stretch>
                  </pic:blipFill>
                  <pic:spPr bwMode="auto">
                    <a:xfrm>
                      <a:off x="0" y="0"/>
                      <a:ext cx="3025775" cy="241300"/>
                    </a:xfrm>
                    <a:prstGeom prst="rect">
                      <a:avLst/>
                    </a:prstGeom>
                    <a:noFill/>
                    <a:ln w="9525">
                      <a:noFill/>
                      <a:miter lim="800000"/>
                      <a:headEnd/>
                      <a:tailEnd/>
                    </a:ln>
                  </pic:spPr>
                </pic:pic>
              </a:graphicData>
            </a:graphic>
          </wp:inline>
        </w:drawing>
      </w:r>
    </w:p>
    <w:p w:rsidR="00BF6720" w:rsidRPr="00BF6720" w:rsidRDefault="00BF6720" w:rsidP="00BF6720">
      <w:pPr>
        <w:spacing w:after="340"/>
        <w:ind w:left="720" w:right="720"/>
        <w:jc w:val="center"/>
        <w:rPr>
          <w:rFonts w:ascii="Arial" w:hAnsi="Arial" w:cs="Arial"/>
          <w:bCs/>
          <w:sz w:val="20"/>
          <w:szCs w:val="20"/>
        </w:rPr>
      </w:pPr>
      <w:r w:rsidRPr="00BF6720">
        <w:rPr>
          <w:rFonts w:ascii="Arial" w:hAnsi="Arial" w:cs="Arial"/>
          <w:bCs/>
          <w:noProof/>
          <w:sz w:val="20"/>
          <w:szCs w:val="20"/>
        </w:rPr>
        <w:drawing>
          <wp:inline distT="0" distB="0" distL="0" distR="0">
            <wp:extent cx="1983105" cy="385445"/>
            <wp:effectExtent l="19050" t="0" r="0" b="0"/>
            <wp:docPr id="7" name="Picture 7" descr="SSL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SLIC Logo"/>
                    <pic:cNvPicPr>
                      <a:picLocks noChangeAspect="1" noChangeArrowheads="1"/>
                    </pic:cNvPicPr>
                  </pic:nvPicPr>
                  <pic:blipFill>
                    <a:blip r:embed="rId9" cstate="print"/>
                    <a:srcRect/>
                    <a:stretch>
                      <a:fillRect/>
                    </a:stretch>
                  </pic:blipFill>
                  <pic:spPr bwMode="auto">
                    <a:xfrm>
                      <a:off x="0" y="0"/>
                      <a:ext cx="1983105" cy="385445"/>
                    </a:xfrm>
                    <a:prstGeom prst="rect">
                      <a:avLst/>
                    </a:prstGeom>
                    <a:noFill/>
                    <a:ln w="9525">
                      <a:noFill/>
                      <a:miter lim="800000"/>
                      <a:headEnd/>
                      <a:tailEnd/>
                    </a:ln>
                  </pic:spPr>
                </pic:pic>
              </a:graphicData>
            </a:graphic>
          </wp:inline>
        </w:drawing>
      </w:r>
    </w:p>
    <w:p w:rsidR="00BF6720" w:rsidRPr="00BF6720" w:rsidRDefault="00BF6720" w:rsidP="00BF6720">
      <w:pPr>
        <w:spacing w:after="140" w:line="260" w:lineRule="exact"/>
        <w:ind w:left="720" w:right="720"/>
        <w:jc w:val="center"/>
        <w:rPr>
          <w:rFonts w:ascii="Arial" w:hAnsi="Arial" w:cs="Arial"/>
          <w:b/>
          <w:bCs/>
          <w:sz w:val="24"/>
          <w:szCs w:val="24"/>
        </w:rPr>
      </w:pPr>
      <w:r w:rsidRPr="00BF6720">
        <w:rPr>
          <w:rFonts w:ascii="Arial" w:hAnsi="Arial" w:cs="Arial"/>
          <w:b/>
          <w:bCs/>
          <w:sz w:val="24"/>
          <w:szCs w:val="24"/>
        </w:rPr>
        <w:t>POLICYHOLDER DISCLOSURE</w:t>
      </w:r>
    </w:p>
    <w:p w:rsidR="00BF6720" w:rsidRPr="00BF6720" w:rsidRDefault="00BF6720" w:rsidP="00BF6720">
      <w:pPr>
        <w:spacing w:after="380" w:line="260" w:lineRule="exact"/>
        <w:ind w:left="720" w:right="720"/>
        <w:jc w:val="center"/>
        <w:rPr>
          <w:rFonts w:ascii="Arial" w:hAnsi="Arial" w:cs="Arial"/>
          <w:b/>
          <w:bCs/>
          <w:sz w:val="20"/>
          <w:szCs w:val="20"/>
        </w:rPr>
      </w:pPr>
      <w:r w:rsidRPr="00BF6720">
        <w:rPr>
          <w:rFonts w:ascii="Arial" w:hAnsi="Arial" w:cs="Arial"/>
          <w:b/>
          <w:bCs/>
          <w:sz w:val="20"/>
          <w:szCs w:val="20"/>
        </w:rPr>
        <w:t>NOTICE OF TERRORISM INSURANCE COVERAGE</w:t>
      </w:r>
    </w:p>
    <w:p w:rsidR="00BF6720" w:rsidRPr="00BF6720" w:rsidRDefault="00BF6720" w:rsidP="00BF6720">
      <w:pPr>
        <w:spacing w:after="140" w:line="260" w:lineRule="exact"/>
        <w:ind w:left="720" w:right="720"/>
        <w:jc w:val="both"/>
        <w:rPr>
          <w:rFonts w:ascii="Arial" w:hAnsi="Arial" w:cs="Arial"/>
          <w:b/>
          <w:sz w:val="20"/>
          <w:szCs w:val="20"/>
        </w:rPr>
      </w:pPr>
      <w:r w:rsidRPr="00BF6720">
        <w:rPr>
          <w:rFonts w:ascii="Arial" w:hAnsi="Arial" w:cs="Arial"/>
          <w:b/>
          <w:sz w:val="20"/>
          <w:szCs w:val="20"/>
        </w:rPr>
        <w:t>TERRORISM RISK INSURANCE ACT</w:t>
      </w:r>
    </w:p>
    <w:p w:rsidR="00BF6720" w:rsidRPr="00BF6720" w:rsidRDefault="00BF6720" w:rsidP="00BF6720">
      <w:pPr>
        <w:spacing w:after="140" w:line="260" w:lineRule="exact"/>
        <w:ind w:left="720" w:right="720"/>
        <w:jc w:val="both"/>
        <w:rPr>
          <w:rFonts w:ascii="Arial" w:hAnsi="Arial" w:cs="Arial"/>
          <w:sz w:val="20"/>
          <w:szCs w:val="20"/>
        </w:rPr>
      </w:pPr>
      <w:r w:rsidRPr="00BF6720">
        <w:rPr>
          <w:rFonts w:ascii="Arial" w:hAnsi="Arial" w:cs="Arial"/>
          <w:sz w:val="20"/>
          <w:szCs w:val="20"/>
        </w:rPr>
        <w:t xml:space="preserve">Under the Terrorism Risk Insurance Act of 2002, as amended pursuant to the Terrorism Risk Insurance Program Reauthorization Act of 2015, effective January 1, 2015 (the “Act”), you have a right to purchase insurance coverage for losses arising out of acts of terrorism, as defined in Section 102(1) of the Act: </w:t>
      </w:r>
      <w:r w:rsidR="006B728C">
        <w:rPr>
          <w:rFonts w:ascii="Arial" w:hAnsi="Arial" w:cs="Arial"/>
          <w:sz w:val="20"/>
          <w:szCs w:val="20"/>
        </w:rPr>
        <w:br/>
      </w:r>
      <w:r w:rsidRPr="00BF6720">
        <w:rPr>
          <w:rFonts w:ascii="Arial" w:hAnsi="Arial" w:cs="Arial"/>
          <w:sz w:val="20"/>
          <w:szCs w:val="20"/>
        </w:rPr>
        <w:t xml:space="preserve">The term “certified acts of terrorism” means any act that is certified by the Secretary of the Treasury—in consultation with the Secretary of Homeland Security—to be an act of terrorism; to be a violent act or an act that is dangerous to human life, property, or infrastructure; to have resulted in damage within the United States, or outside the United States in the case of certain air carriers or vessels or the premises </w:t>
      </w:r>
      <w:r w:rsidR="006B728C">
        <w:rPr>
          <w:rFonts w:ascii="Arial" w:hAnsi="Arial" w:cs="Arial"/>
          <w:sz w:val="20"/>
          <w:szCs w:val="20"/>
        </w:rPr>
        <w:br/>
      </w:r>
      <w:r w:rsidRPr="00BF6720">
        <w:rPr>
          <w:rFonts w:ascii="Arial" w:hAnsi="Arial" w:cs="Arial"/>
          <w:sz w:val="20"/>
          <w:szCs w:val="20"/>
        </w:rPr>
        <w:t xml:space="preserve">of a United States mission; to have been committed by an individual or individuals as part of an effort to </w:t>
      </w:r>
      <w:proofErr w:type="gramStart"/>
      <w:r w:rsidRPr="00BF6720">
        <w:rPr>
          <w:rFonts w:ascii="Arial" w:hAnsi="Arial" w:cs="Arial"/>
          <w:sz w:val="20"/>
          <w:szCs w:val="20"/>
        </w:rPr>
        <w:t>coerce</w:t>
      </w:r>
      <w:proofErr w:type="gramEnd"/>
      <w:r w:rsidRPr="00BF6720">
        <w:rPr>
          <w:rFonts w:ascii="Arial" w:hAnsi="Arial" w:cs="Arial"/>
          <w:sz w:val="20"/>
          <w:szCs w:val="20"/>
        </w:rPr>
        <w:t xml:space="preserve"> the civilian population of the United States or to influence the policy or affect the conduct of the United States Government by coercion.</w:t>
      </w:r>
    </w:p>
    <w:p w:rsidR="00BF6720" w:rsidRPr="00BF6720" w:rsidRDefault="00BF6720" w:rsidP="00BF6720">
      <w:pPr>
        <w:spacing w:after="140" w:line="260" w:lineRule="exact"/>
        <w:ind w:left="720" w:right="720"/>
        <w:jc w:val="both"/>
        <w:rPr>
          <w:rFonts w:ascii="Arial" w:hAnsi="Arial" w:cs="Arial"/>
          <w:sz w:val="20"/>
          <w:szCs w:val="20"/>
        </w:rPr>
      </w:pPr>
      <w:r w:rsidRPr="00BF6720">
        <w:rPr>
          <w:rFonts w:ascii="Arial" w:hAnsi="Arial" w:cs="Arial"/>
          <w:sz w:val="20"/>
          <w:szCs w:val="20"/>
        </w:rPr>
        <w:t xml:space="preserve">You should know that where coverage is provided by this policy for losses resulting from “certified acts of terrorism,” such losses may be partially reimbursed by the United States Government under a formula </w:t>
      </w:r>
      <w:r w:rsidRPr="00BF6720">
        <w:rPr>
          <w:rFonts w:ascii="Arial" w:hAnsi="Arial" w:cs="Arial"/>
          <w:sz w:val="20"/>
          <w:szCs w:val="20"/>
        </w:rPr>
        <w:br/>
        <w:t xml:space="preserve">established by federal law. However, your policy may contain other exclusions which might affect your coverage, such as </w:t>
      </w:r>
      <w:proofErr w:type="gramStart"/>
      <w:r w:rsidRPr="00BF6720">
        <w:rPr>
          <w:rFonts w:ascii="Arial" w:hAnsi="Arial" w:cs="Arial"/>
          <w:sz w:val="20"/>
          <w:szCs w:val="20"/>
        </w:rPr>
        <w:t>an exclusion</w:t>
      </w:r>
      <w:proofErr w:type="gramEnd"/>
      <w:r w:rsidRPr="00BF6720">
        <w:rPr>
          <w:rFonts w:ascii="Arial" w:hAnsi="Arial" w:cs="Arial"/>
          <w:sz w:val="20"/>
          <w:szCs w:val="20"/>
        </w:rPr>
        <w:t xml:space="preserve"> for nuclear events. Under the formula, the United States Government agrees to reimburse eighty-five percent (85%) of covered terrorism losses in calendar year 2015 that e</w:t>
      </w:r>
      <w:r w:rsidRPr="00BF6720">
        <w:rPr>
          <w:rFonts w:ascii="Arial" w:hAnsi="Arial" w:cs="Arial"/>
          <w:sz w:val="20"/>
          <w:szCs w:val="20"/>
        </w:rPr>
        <w:t>x</w:t>
      </w:r>
      <w:r w:rsidRPr="00BF6720">
        <w:rPr>
          <w:rFonts w:ascii="Arial" w:hAnsi="Arial" w:cs="Arial"/>
          <w:sz w:val="20"/>
          <w:szCs w:val="20"/>
        </w:rPr>
        <w:t>ceed the statutorily established deductible paid by the insurance company providing the coverage. This percentage of United States Government reimbursement decreases by one percent (1%) every calendar year beginning in 2016 until it equals eighty percent (80%) in 2020. The premium charged for this cove</w:t>
      </w:r>
      <w:r w:rsidRPr="00BF6720">
        <w:rPr>
          <w:rFonts w:ascii="Arial" w:hAnsi="Arial" w:cs="Arial"/>
          <w:sz w:val="20"/>
          <w:szCs w:val="20"/>
        </w:rPr>
        <w:t>r</w:t>
      </w:r>
      <w:r w:rsidRPr="00BF6720">
        <w:rPr>
          <w:rFonts w:ascii="Arial" w:hAnsi="Arial" w:cs="Arial"/>
          <w:sz w:val="20"/>
          <w:szCs w:val="20"/>
        </w:rPr>
        <w:t>age is provided below and does not include any charges for the portion of loss that may be covered by the Federal Government under th</w:t>
      </w:r>
      <w:r w:rsidR="005B49F7">
        <w:rPr>
          <w:rFonts w:ascii="Arial" w:hAnsi="Arial" w:cs="Arial"/>
          <w:sz w:val="20"/>
          <w:szCs w:val="20"/>
        </w:rPr>
        <w:t>e Act.</w:t>
      </w:r>
    </w:p>
    <w:p w:rsidR="00BF6720" w:rsidRPr="00BF6720" w:rsidRDefault="00BF6720" w:rsidP="00BF6720">
      <w:pPr>
        <w:spacing w:after="140" w:line="260" w:lineRule="exact"/>
        <w:ind w:left="720" w:right="720"/>
        <w:jc w:val="both"/>
        <w:rPr>
          <w:rFonts w:ascii="Arial" w:hAnsi="Arial" w:cs="Arial"/>
          <w:sz w:val="20"/>
          <w:szCs w:val="20"/>
        </w:rPr>
      </w:pPr>
      <w:r w:rsidRPr="00BF6720">
        <w:rPr>
          <w:rFonts w:ascii="Arial" w:hAnsi="Arial" w:cs="Arial"/>
          <w:sz w:val="20"/>
          <w:szCs w:val="20"/>
        </w:rPr>
        <w:t>You should also know that the Act, as amended, contains a $100 billion cap that limits United States Government reimbursement as well as insurers’ liability for losses resulting from “certified acts of terro</w:t>
      </w:r>
      <w:r w:rsidRPr="00BF6720">
        <w:rPr>
          <w:rFonts w:ascii="Arial" w:hAnsi="Arial" w:cs="Arial"/>
          <w:sz w:val="20"/>
          <w:szCs w:val="20"/>
        </w:rPr>
        <w:t>r</w:t>
      </w:r>
      <w:r w:rsidRPr="00BF6720">
        <w:rPr>
          <w:rFonts w:ascii="Arial" w:hAnsi="Arial" w:cs="Arial"/>
          <w:sz w:val="20"/>
          <w:szCs w:val="20"/>
        </w:rPr>
        <w:t>ism” when the amount of such losses in any one calendar year exceeds $100 billion. If the aggregate i</w:t>
      </w:r>
      <w:r w:rsidRPr="00BF6720">
        <w:rPr>
          <w:rFonts w:ascii="Arial" w:hAnsi="Arial" w:cs="Arial"/>
          <w:sz w:val="20"/>
          <w:szCs w:val="20"/>
        </w:rPr>
        <w:t>n</w:t>
      </w:r>
      <w:r w:rsidRPr="00BF6720">
        <w:rPr>
          <w:rFonts w:ascii="Arial" w:hAnsi="Arial" w:cs="Arial"/>
          <w:sz w:val="20"/>
          <w:szCs w:val="20"/>
        </w:rPr>
        <w:t>sured losses for all insurers exceed $100 billion, your coverage may be reduced.</w:t>
      </w:r>
    </w:p>
    <w:p w:rsidR="00BF6720" w:rsidRPr="00BF6720" w:rsidRDefault="00BF6720" w:rsidP="00BF6720">
      <w:pPr>
        <w:spacing w:after="140" w:line="260" w:lineRule="exact"/>
        <w:ind w:left="720" w:right="720"/>
        <w:jc w:val="both"/>
        <w:rPr>
          <w:rFonts w:ascii="Arial" w:hAnsi="Arial" w:cs="Arial"/>
          <w:b/>
          <w:sz w:val="20"/>
          <w:szCs w:val="20"/>
        </w:rPr>
      </w:pPr>
      <w:r w:rsidRPr="00BF6720">
        <w:rPr>
          <w:rFonts w:ascii="Arial" w:hAnsi="Arial" w:cs="Arial"/>
          <w:b/>
          <w:sz w:val="20"/>
          <w:szCs w:val="20"/>
        </w:rPr>
        <w:t>CONDITIONAL TERRORISM COVERAGE</w:t>
      </w:r>
    </w:p>
    <w:p w:rsidR="00BF6720" w:rsidRPr="00BF6720" w:rsidRDefault="00BF6720" w:rsidP="00BF6720">
      <w:pPr>
        <w:spacing w:after="140" w:line="260" w:lineRule="exact"/>
        <w:ind w:left="720" w:right="720"/>
        <w:jc w:val="both"/>
        <w:rPr>
          <w:rFonts w:ascii="Arial" w:hAnsi="Arial" w:cs="Arial"/>
          <w:sz w:val="20"/>
          <w:szCs w:val="20"/>
        </w:rPr>
      </w:pPr>
      <w:r w:rsidRPr="00BF6720">
        <w:rPr>
          <w:rFonts w:ascii="Arial" w:hAnsi="Arial" w:cs="Arial"/>
          <w:sz w:val="20"/>
          <w:szCs w:val="20"/>
        </w:rPr>
        <w:t xml:space="preserve">The federal Terrorism Risk Insurance Program Reauthorization Act of 2015 is scheduled to terminate </w:t>
      </w:r>
      <w:r w:rsidRPr="00BF6720">
        <w:rPr>
          <w:rFonts w:ascii="Arial" w:hAnsi="Arial" w:cs="Arial"/>
          <w:sz w:val="20"/>
          <w:szCs w:val="20"/>
        </w:rPr>
        <w:br/>
        <w:t>at the end of December 31, 2020, unless renewed, extended or otherwise continued by the federal go</w:t>
      </w:r>
      <w:r w:rsidRPr="00BF6720">
        <w:rPr>
          <w:rFonts w:ascii="Arial" w:hAnsi="Arial" w:cs="Arial"/>
          <w:sz w:val="20"/>
          <w:szCs w:val="20"/>
        </w:rPr>
        <w:t>v</w:t>
      </w:r>
      <w:r w:rsidRPr="00BF6720">
        <w:rPr>
          <w:rFonts w:ascii="Arial" w:hAnsi="Arial" w:cs="Arial"/>
          <w:sz w:val="20"/>
          <w:szCs w:val="20"/>
        </w:rPr>
        <w:t xml:space="preserve">ernment. Should you select Terrorism Coverage provided under the Act and the Act is terminated </w:t>
      </w:r>
      <w:r w:rsidRPr="00BF6720">
        <w:rPr>
          <w:rFonts w:ascii="Arial" w:hAnsi="Arial" w:cs="Arial"/>
          <w:sz w:val="20"/>
          <w:szCs w:val="20"/>
        </w:rPr>
        <w:br/>
        <w:t xml:space="preserve">December 31, 2020, any terrorism coverage as defined by the Act provided in the policy will also </w:t>
      </w:r>
      <w:r w:rsidRPr="00BF6720">
        <w:rPr>
          <w:rFonts w:ascii="Arial" w:hAnsi="Arial" w:cs="Arial"/>
          <w:sz w:val="20"/>
          <w:szCs w:val="20"/>
        </w:rPr>
        <w:br/>
        <w:t>terminate.</w:t>
      </w:r>
    </w:p>
    <w:p w:rsidR="00BF6720" w:rsidRPr="00BF6720" w:rsidRDefault="00175C40" w:rsidP="00175C40">
      <w:pPr>
        <w:spacing w:after="140" w:line="260" w:lineRule="exact"/>
        <w:ind w:left="720" w:right="720"/>
        <w:jc w:val="both"/>
        <w:rPr>
          <w:rFonts w:ascii="Arial" w:hAnsi="Arial" w:cs="Arial"/>
          <w:b/>
          <w:sz w:val="20"/>
          <w:szCs w:val="20"/>
        </w:rPr>
      </w:pPr>
      <w:r>
        <w:rPr>
          <w:rFonts w:ascii="Arial" w:hAnsi="Arial" w:cs="Arial"/>
          <w:b/>
          <w:sz w:val="20"/>
          <w:szCs w:val="20"/>
        </w:rPr>
        <w:br w:type="page"/>
      </w:r>
      <w:r w:rsidR="00BF6720" w:rsidRPr="00BF6720">
        <w:rPr>
          <w:rFonts w:ascii="Arial" w:hAnsi="Arial" w:cs="Arial"/>
          <w:b/>
          <w:sz w:val="20"/>
          <w:szCs w:val="20"/>
        </w:rPr>
        <w:lastRenderedPageBreak/>
        <w:t>IN ACCORDANCE WITH THE ACT, YOU MUST CHOOSE TO SELECT OR REJECT COVERAGE FOR “CERTIFIED ACTS OF TERRORISM” BELOW:</w:t>
      </w:r>
    </w:p>
    <w:p w:rsidR="00BF6720" w:rsidRPr="00BF6720" w:rsidRDefault="00BF6720" w:rsidP="00BF6720">
      <w:pPr>
        <w:spacing w:after="140" w:line="260" w:lineRule="exact"/>
        <w:ind w:left="720" w:right="720"/>
        <w:jc w:val="both"/>
        <w:rPr>
          <w:rFonts w:ascii="Arial" w:hAnsi="Arial" w:cs="Arial"/>
          <w:sz w:val="20"/>
          <w:szCs w:val="20"/>
        </w:rPr>
      </w:pPr>
      <w:r w:rsidRPr="006B728C">
        <w:rPr>
          <w:rFonts w:ascii="Arial" w:hAnsi="Arial" w:cs="Arial"/>
          <w:b/>
          <w:sz w:val="20"/>
          <w:szCs w:val="20"/>
        </w:rPr>
        <w:t>The Note below applies for risks in these states:</w:t>
      </w:r>
      <w:r w:rsidRPr="00BF6720">
        <w:rPr>
          <w:rFonts w:ascii="Arial" w:hAnsi="Arial" w:cs="Arial"/>
          <w:sz w:val="20"/>
          <w:szCs w:val="20"/>
        </w:rPr>
        <w:t xml:space="preserve"> California, Connecticut, Georgia, Hawaii, Illinois, </w:t>
      </w:r>
      <w:r w:rsidR="00776EB8">
        <w:rPr>
          <w:rFonts w:ascii="Arial" w:hAnsi="Arial" w:cs="Arial"/>
          <w:sz w:val="20"/>
          <w:szCs w:val="20"/>
        </w:rPr>
        <w:br/>
      </w:r>
      <w:r w:rsidRPr="00BF6720">
        <w:rPr>
          <w:rFonts w:ascii="Arial" w:hAnsi="Arial" w:cs="Arial"/>
          <w:sz w:val="20"/>
          <w:szCs w:val="20"/>
        </w:rPr>
        <w:t xml:space="preserve">Iowa, Maine, Missouri, New Jersey, New York, North Carolina, Oregon, Rhode Island, Virginia, </w:t>
      </w:r>
      <w:r w:rsidR="00776EB8">
        <w:rPr>
          <w:rFonts w:ascii="Arial" w:hAnsi="Arial" w:cs="Arial"/>
          <w:sz w:val="20"/>
          <w:szCs w:val="20"/>
        </w:rPr>
        <w:br/>
      </w:r>
      <w:r w:rsidRPr="00BF6720">
        <w:rPr>
          <w:rFonts w:ascii="Arial" w:hAnsi="Arial" w:cs="Arial"/>
          <w:sz w:val="20"/>
          <w:szCs w:val="20"/>
        </w:rPr>
        <w:t xml:space="preserve">Washington, West Virginia, </w:t>
      </w:r>
      <w:proofErr w:type="gramStart"/>
      <w:r w:rsidRPr="00BF6720">
        <w:rPr>
          <w:rFonts w:ascii="Arial" w:hAnsi="Arial" w:cs="Arial"/>
          <w:sz w:val="20"/>
          <w:szCs w:val="20"/>
        </w:rPr>
        <w:t>Wisconsin</w:t>
      </w:r>
      <w:proofErr w:type="gramEnd"/>
      <w:r w:rsidRPr="00BF6720">
        <w:rPr>
          <w:rFonts w:ascii="Arial" w:hAnsi="Arial" w:cs="Arial"/>
          <w:sz w:val="20"/>
          <w:szCs w:val="20"/>
        </w:rPr>
        <w:t>.</w:t>
      </w:r>
    </w:p>
    <w:p w:rsidR="00BF6720" w:rsidRPr="00BF6720" w:rsidRDefault="00BF6720" w:rsidP="005B49F7">
      <w:pPr>
        <w:spacing w:after="140" w:line="260" w:lineRule="exact"/>
        <w:ind w:left="720" w:right="720"/>
        <w:jc w:val="both"/>
        <w:rPr>
          <w:rFonts w:ascii="Arial" w:hAnsi="Arial" w:cs="Arial"/>
          <w:sz w:val="20"/>
          <w:szCs w:val="20"/>
        </w:rPr>
      </w:pPr>
      <w:r w:rsidRPr="00BF6720">
        <w:rPr>
          <w:rFonts w:ascii="Arial" w:hAnsi="Arial" w:cs="Arial"/>
          <w:b/>
          <w:sz w:val="20"/>
          <w:szCs w:val="20"/>
        </w:rPr>
        <w:t>NOTE:</w:t>
      </w:r>
      <w:r w:rsidRPr="00BF6720">
        <w:rPr>
          <w:rFonts w:ascii="Arial" w:hAnsi="Arial" w:cs="Arial"/>
          <w:sz w:val="20"/>
          <w:szCs w:val="20"/>
        </w:rPr>
        <w:t xml:space="preserve"> In these states, a terrorism exclusion makes an exception for (and thereby provides coverage for) fire losses resulting from an act of terrorism. Therefore, if you reject the offer of terrorism coverage, that rejection does not apply to fire losses resulting from an act of terrorism coverage for such fire losses w</w:t>
      </w:r>
      <w:r w:rsidR="00175C40">
        <w:rPr>
          <w:rFonts w:ascii="Arial" w:hAnsi="Arial" w:cs="Arial"/>
          <w:sz w:val="20"/>
          <w:szCs w:val="20"/>
        </w:rPr>
        <w:t>ill be provided in your policy.</w:t>
      </w:r>
    </w:p>
    <w:p w:rsidR="00320E6E" w:rsidRPr="006B728C" w:rsidRDefault="00BF6720" w:rsidP="00BF6720">
      <w:pPr>
        <w:spacing w:after="140" w:line="260" w:lineRule="exact"/>
        <w:ind w:left="720" w:right="720"/>
        <w:jc w:val="both"/>
        <w:rPr>
          <w:rFonts w:ascii="Arial" w:hAnsi="Arial" w:cs="Arial"/>
          <w:b/>
          <w:sz w:val="20"/>
          <w:szCs w:val="20"/>
        </w:rPr>
      </w:pPr>
      <w:r w:rsidRPr="006B728C">
        <w:rPr>
          <w:rFonts w:ascii="Arial" w:hAnsi="Arial" w:cs="Arial"/>
          <w:b/>
          <w:sz w:val="20"/>
          <w:szCs w:val="20"/>
        </w:rPr>
        <w:t>If you do not respond to our offer and do not return this notice to the Company, you will have no Terrorism Coverage under this policy.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820"/>
      </w:tblGrid>
      <w:tr w:rsidR="00BF6720" w:rsidTr="00467459">
        <w:tc>
          <w:tcPr>
            <w:tcW w:w="540" w:type="dxa"/>
            <w:vAlign w:val="center"/>
          </w:tcPr>
          <w:p w:rsidR="00BF6720" w:rsidRDefault="00BF6720" w:rsidP="00467459">
            <w:pPr>
              <w:spacing w:before="40" w:after="40" w:line="260" w:lineRule="exact"/>
              <w:jc w:val="both"/>
              <w:rPr>
                <w:rFonts w:ascii="Arial" w:hAnsi="Arial"/>
                <w:sz w:val="20"/>
              </w:rPr>
            </w:pPr>
            <w:r>
              <w:rPr>
                <w:rFonts w:ascii="Arial" w:hAnsi="Arial"/>
                <w:snapToGrid w:val="0"/>
                <w:sz w:val="20"/>
              </w:rPr>
              <w:br w:type="page"/>
            </w:r>
          </w:p>
        </w:tc>
        <w:tc>
          <w:tcPr>
            <w:tcW w:w="8820" w:type="dxa"/>
            <w:vAlign w:val="center"/>
          </w:tcPr>
          <w:p w:rsidR="00BF6720" w:rsidRDefault="00BF6720" w:rsidP="00467459">
            <w:pPr>
              <w:tabs>
                <w:tab w:val="right" w:leader="underscore" w:pos="8532"/>
              </w:tabs>
              <w:spacing w:before="40" w:after="40" w:line="260" w:lineRule="exact"/>
              <w:jc w:val="both"/>
              <w:rPr>
                <w:rFonts w:ascii="Arial" w:hAnsi="Arial"/>
                <w:sz w:val="16"/>
              </w:rPr>
            </w:pPr>
            <w:r>
              <w:rPr>
                <w:rFonts w:ascii="Arial" w:hAnsi="Arial"/>
                <w:sz w:val="20"/>
              </w:rPr>
              <w:t>I hereby elect to purchase certified terrorism coverage for a premium of $</w:t>
            </w:r>
            <w:r>
              <w:rPr>
                <w:rFonts w:ascii="Arial" w:hAnsi="Arial"/>
                <w:sz w:val="16"/>
              </w:rPr>
              <w:tab/>
            </w:r>
            <w:r>
              <w:rPr>
                <w:rFonts w:ascii="Arial" w:hAnsi="Arial"/>
                <w:sz w:val="20"/>
                <w:szCs w:val="20"/>
              </w:rPr>
              <w:t>.</w:t>
            </w:r>
            <w:r>
              <w:rPr>
                <w:rFonts w:ascii="Arial" w:hAnsi="Arial"/>
                <w:sz w:val="16"/>
              </w:rPr>
              <w:br/>
            </w:r>
            <w:r w:rsidRPr="00D22AE1">
              <w:rPr>
                <w:rFonts w:ascii="Arial" w:hAnsi="Arial"/>
                <w:sz w:val="20"/>
                <w:szCs w:val="20"/>
              </w:rPr>
              <w:t>I</w:t>
            </w:r>
            <w:r>
              <w:rPr>
                <w:rFonts w:ascii="Arial" w:hAnsi="Arial"/>
                <w:sz w:val="16"/>
              </w:rPr>
              <w:t xml:space="preserve"> </w:t>
            </w:r>
            <w:r w:rsidRPr="00E904D1">
              <w:rPr>
                <w:rFonts w:ascii="Arial" w:hAnsi="Arial"/>
                <w:sz w:val="20"/>
                <w:szCs w:val="20"/>
              </w:rPr>
              <w:t>understand that the federal Terrorism Risk Insurance</w:t>
            </w:r>
            <w:r>
              <w:rPr>
                <w:rFonts w:ascii="Arial" w:hAnsi="Arial"/>
                <w:sz w:val="20"/>
                <w:szCs w:val="20"/>
              </w:rPr>
              <w:t xml:space="preserve"> Program Reauthorization</w:t>
            </w:r>
            <w:r w:rsidRPr="00E904D1">
              <w:rPr>
                <w:rFonts w:ascii="Arial" w:hAnsi="Arial"/>
                <w:sz w:val="20"/>
                <w:szCs w:val="20"/>
              </w:rPr>
              <w:t xml:space="preserve"> Act of </w:t>
            </w:r>
            <w:r>
              <w:rPr>
                <w:rFonts w:ascii="Arial" w:hAnsi="Arial"/>
                <w:sz w:val="20"/>
                <w:szCs w:val="20"/>
              </w:rPr>
              <w:t>2015</w:t>
            </w:r>
            <w:r w:rsidRPr="00E904D1">
              <w:rPr>
                <w:rFonts w:ascii="Arial" w:hAnsi="Arial"/>
                <w:sz w:val="20"/>
                <w:szCs w:val="20"/>
              </w:rPr>
              <w:t xml:space="preserve"> may terminate on December 31, </w:t>
            </w:r>
            <w:r>
              <w:rPr>
                <w:rFonts w:ascii="Arial" w:hAnsi="Arial"/>
                <w:sz w:val="20"/>
                <w:szCs w:val="20"/>
              </w:rPr>
              <w:t>2020</w:t>
            </w:r>
            <w:r w:rsidRPr="00E904D1">
              <w:rPr>
                <w:rFonts w:ascii="Arial" w:hAnsi="Arial"/>
                <w:sz w:val="20"/>
                <w:szCs w:val="20"/>
              </w:rPr>
              <w:t>. Should that occur my coverage for terrorism as defined by the Act will also terminate.</w:t>
            </w:r>
          </w:p>
        </w:tc>
      </w:tr>
      <w:tr w:rsidR="00BF6720" w:rsidTr="00467459">
        <w:tc>
          <w:tcPr>
            <w:tcW w:w="540" w:type="dxa"/>
            <w:vAlign w:val="center"/>
          </w:tcPr>
          <w:p w:rsidR="00BF6720" w:rsidRDefault="00BF6720" w:rsidP="00467459">
            <w:pPr>
              <w:spacing w:before="40" w:after="40" w:line="260" w:lineRule="exact"/>
              <w:jc w:val="both"/>
              <w:rPr>
                <w:rFonts w:ascii="Arial" w:hAnsi="Arial"/>
                <w:sz w:val="20"/>
              </w:rPr>
            </w:pPr>
          </w:p>
        </w:tc>
        <w:tc>
          <w:tcPr>
            <w:tcW w:w="8820" w:type="dxa"/>
            <w:vAlign w:val="center"/>
          </w:tcPr>
          <w:p w:rsidR="00BF6720" w:rsidRDefault="00BF6720" w:rsidP="00467459">
            <w:pPr>
              <w:tabs>
                <w:tab w:val="left" w:leader="underscore" w:pos="3840"/>
              </w:tabs>
              <w:spacing w:before="40" w:after="40" w:line="260" w:lineRule="exact"/>
              <w:jc w:val="both"/>
              <w:rPr>
                <w:rFonts w:ascii="Arial" w:hAnsi="Arial"/>
                <w:sz w:val="16"/>
              </w:rPr>
            </w:pPr>
            <w:r>
              <w:rPr>
                <w:rFonts w:ascii="Arial" w:hAnsi="Arial"/>
                <w:sz w:val="20"/>
              </w:rPr>
              <w:t>I hereby reject the purchase of certified terrorism coverage.</w:t>
            </w:r>
          </w:p>
        </w:tc>
      </w:tr>
    </w:tbl>
    <w:p w:rsidR="00BF6720" w:rsidRPr="00141381" w:rsidRDefault="00BF6720" w:rsidP="00BF6720">
      <w:pPr>
        <w:tabs>
          <w:tab w:val="left" w:leader="underscore" w:pos="5400"/>
          <w:tab w:val="left" w:pos="5640"/>
          <w:tab w:val="left" w:leader="underscore" w:pos="10080"/>
        </w:tabs>
        <w:spacing w:before="280" w:line="260" w:lineRule="exact"/>
        <w:ind w:left="720" w:right="720"/>
        <w:jc w:val="both"/>
        <w:rPr>
          <w:rFonts w:ascii="Arial" w:hAnsi="Arial" w:cs="Arial"/>
          <w:sz w:val="16"/>
          <w:szCs w:val="16"/>
        </w:rPr>
      </w:pPr>
      <w:r w:rsidRPr="00141381">
        <w:rPr>
          <w:rFonts w:ascii="Arial" w:hAnsi="Arial" w:cs="Arial"/>
          <w:sz w:val="16"/>
          <w:szCs w:val="16"/>
        </w:rPr>
        <w:tab/>
      </w:r>
      <w:r w:rsidRPr="00141381">
        <w:rPr>
          <w:rFonts w:ascii="Arial" w:hAnsi="Arial" w:cs="Arial"/>
          <w:sz w:val="16"/>
          <w:szCs w:val="16"/>
        </w:rPr>
        <w:tab/>
      </w:r>
      <w:r w:rsidRPr="00141381">
        <w:rPr>
          <w:rFonts w:ascii="Arial" w:hAnsi="Arial" w:cs="Arial"/>
          <w:sz w:val="16"/>
          <w:szCs w:val="16"/>
        </w:rPr>
        <w:tab/>
      </w:r>
    </w:p>
    <w:p w:rsidR="00BF6720" w:rsidRDefault="00BF6720" w:rsidP="00BF6720">
      <w:pPr>
        <w:tabs>
          <w:tab w:val="left" w:pos="5640"/>
        </w:tabs>
        <w:spacing w:after="280" w:line="260" w:lineRule="exact"/>
        <w:ind w:left="720" w:right="720"/>
        <w:jc w:val="both"/>
        <w:rPr>
          <w:rFonts w:ascii="Arial" w:hAnsi="Arial" w:cs="Arial"/>
          <w:sz w:val="20"/>
          <w:szCs w:val="20"/>
        </w:rPr>
      </w:pPr>
      <w:r>
        <w:rPr>
          <w:rFonts w:ascii="Arial" w:hAnsi="Arial" w:cs="Arial"/>
          <w:sz w:val="20"/>
          <w:szCs w:val="20"/>
        </w:rPr>
        <w:t> Policyholder/Applicant's Signature</w:t>
      </w:r>
      <w:r>
        <w:rPr>
          <w:rFonts w:ascii="Arial" w:hAnsi="Arial" w:cs="Arial"/>
          <w:sz w:val="20"/>
          <w:szCs w:val="20"/>
        </w:rPr>
        <w:tab/>
        <w:t> Named Insured/Firm</w:t>
      </w:r>
    </w:p>
    <w:p w:rsidR="00BF6720" w:rsidRPr="00141381" w:rsidRDefault="00BF6720" w:rsidP="00BF6720">
      <w:pPr>
        <w:tabs>
          <w:tab w:val="left" w:leader="underscore" w:pos="5400"/>
          <w:tab w:val="left" w:pos="5640"/>
          <w:tab w:val="left" w:leader="underscore" w:pos="10080"/>
        </w:tabs>
        <w:spacing w:line="260" w:lineRule="exact"/>
        <w:ind w:left="720" w:right="720"/>
        <w:jc w:val="both"/>
        <w:rPr>
          <w:rFonts w:ascii="Arial" w:hAnsi="Arial" w:cs="Arial"/>
          <w:sz w:val="16"/>
          <w:szCs w:val="16"/>
        </w:rPr>
      </w:pPr>
      <w:r w:rsidRPr="00141381">
        <w:rPr>
          <w:rFonts w:ascii="Arial" w:hAnsi="Arial" w:cs="Arial"/>
          <w:sz w:val="16"/>
          <w:szCs w:val="16"/>
        </w:rPr>
        <w:tab/>
      </w:r>
      <w:r w:rsidRPr="00141381">
        <w:rPr>
          <w:rFonts w:ascii="Arial" w:hAnsi="Arial" w:cs="Arial"/>
          <w:sz w:val="16"/>
          <w:szCs w:val="16"/>
        </w:rPr>
        <w:tab/>
      </w:r>
      <w:r w:rsidRPr="00141381">
        <w:rPr>
          <w:rFonts w:ascii="Arial" w:hAnsi="Arial" w:cs="Arial"/>
          <w:sz w:val="16"/>
          <w:szCs w:val="16"/>
        </w:rPr>
        <w:tab/>
      </w:r>
    </w:p>
    <w:p w:rsidR="00BF6720" w:rsidRDefault="00BF6720" w:rsidP="00BF6720">
      <w:pPr>
        <w:tabs>
          <w:tab w:val="left" w:pos="5640"/>
        </w:tabs>
        <w:spacing w:after="280" w:line="260" w:lineRule="exact"/>
        <w:ind w:left="720" w:right="720"/>
        <w:jc w:val="both"/>
        <w:rPr>
          <w:rFonts w:ascii="Arial" w:hAnsi="Arial" w:cs="Arial"/>
          <w:sz w:val="20"/>
          <w:szCs w:val="20"/>
        </w:rPr>
      </w:pPr>
      <w:r>
        <w:rPr>
          <w:rFonts w:ascii="Arial" w:hAnsi="Arial" w:cs="Arial"/>
          <w:sz w:val="20"/>
          <w:szCs w:val="20"/>
        </w:rPr>
        <w:t> </w:t>
      </w:r>
      <w:r w:rsidRPr="003D0C53">
        <w:rPr>
          <w:rFonts w:ascii="Arial" w:hAnsi="Arial" w:cs="Arial"/>
          <w:sz w:val="20"/>
          <w:szCs w:val="20"/>
        </w:rPr>
        <w:t>Print Name</w:t>
      </w:r>
      <w:r w:rsidRPr="003D0C53">
        <w:rPr>
          <w:rFonts w:ascii="Arial" w:hAnsi="Arial" w:cs="Arial"/>
          <w:sz w:val="20"/>
          <w:szCs w:val="20"/>
        </w:rPr>
        <w:tab/>
      </w:r>
      <w:r>
        <w:rPr>
          <w:rFonts w:ascii="Arial" w:hAnsi="Arial" w:cs="Arial"/>
          <w:sz w:val="20"/>
          <w:szCs w:val="20"/>
        </w:rPr>
        <w:t> </w:t>
      </w:r>
      <w:r w:rsidRPr="003D0C53">
        <w:rPr>
          <w:rFonts w:ascii="Arial" w:hAnsi="Arial" w:cs="Arial"/>
          <w:sz w:val="20"/>
          <w:szCs w:val="20"/>
        </w:rPr>
        <w:t>Policy Number, if available</w:t>
      </w:r>
    </w:p>
    <w:p w:rsidR="00BF6720" w:rsidRPr="00141381" w:rsidRDefault="00BF6720" w:rsidP="00BF6720">
      <w:pPr>
        <w:tabs>
          <w:tab w:val="left" w:leader="underscore" w:pos="5400"/>
        </w:tabs>
        <w:spacing w:line="260" w:lineRule="exact"/>
        <w:ind w:left="720" w:right="720"/>
        <w:jc w:val="both"/>
        <w:rPr>
          <w:rFonts w:ascii="Arial" w:hAnsi="Arial" w:cs="Arial"/>
          <w:sz w:val="16"/>
          <w:szCs w:val="16"/>
        </w:rPr>
      </w:pPr>
      <w:r w:rsidRPr="00141381">
        <w:rPr>
          <w:rFonts w:ascii="Arial" w:hAnsi="Arial" w:cs="Arial"/>
          <w:sz w:val="16"/>
          <w:szCs w:val="16"/>
        </w:rPr>
        <w:tab/>
      </w:r>
    </w:p>
    <w:p w:rsidR="00BF6720" w:rsidRPr="00BF6720" w:rsidRDefault="00BF6720" w:rsidP="00BF6720">
      <w:pPr>
        <w:spacing w:after="140" w:line="260" w:lineRule="exact"/>
        <w:ind w:left="720" w:right="720"/>
        <w:jc w:val="both"/>
        <w:rPr>
          <w:rFonts w:ascii="Arial" w:hAnsi="Arial" w:cs="Arial"/>
          <w:sz w:val="20"/>
          <w:szCs w:val="20"/>
        </w:rPr>
      </w:pPr>
      <w:r>
        <w:rPr>
          <w:rFonts w:ascii="Arial" w:hAnsi="Arial" w:cs="Arial"/>
          <w:sz w:val="20"/>
          <w:szCs w:val="20"/>
        </w:rPr>
        <w:t> Date</w:t>
      </w:r>
    </w:p>
    <w:sectPr w:rsidR="00BF6720" w:rsidRPr="00BF6720" w:rsidSect="00BF6720">
      <w:footerReference w:type="default" r:id="rId10"/>
      <w:pgSz w:w="12240" w:h="15840" w:code="1"/>
      <w:pgMar w:top="720" w:right="720" w:bottom="720" w:left="720" w:header="720" w:footer="29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174" w:rsidRDefault="00F97174" w:rsidP="00175C40">
      <w:r>
        <w:separator/>
      </w:r>
    </w:p>
  </w:endnote>
  <w:endnote w:type="continuationSeparator" w:id="0">
    <w:p w:rsidR="00F97174" w:rsidRDefault="00F97174" w:rsidP="00175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C40" w:rsidRPr="00175C40" w:rsidRDefault="00175C40" w:rsidP="00175C40">
    <w:pPr>
      <w:pStyle w:val="Footer"/>
      <w:tabs>
        <w:tab w:val="clear" w:pos="4680"/>
        <w:tab w:val="clear" w:pos="9360"/>
        <w:tab w:val="center" w:pos="5400"/>
      </w:tabs>
      <w:rPr>
        <w:rFonts w:ascii="Arial" w:hAnsi="Arial" w:cs="Arial"/>
        <w:sz w:val="16"/>
        <w:szCs w:val="16"/>
      </w:rPr>
    </w:pPr>
    <w:r w:rsidRPr="00175C40">
      <w:rPr>
        <w:rFonts w:ascii="Arial" w:hAnsi="Arial" w:cs="Arial"/>
        <w:sz w:val="16"/>
        <w:szCs w:val="16"/>
      </w:rPr>
      <w:t>NOTX0423CW (2-15)</w:t>
    </w:r>
    <w:r w:rsidRPr="00175C40">
      <w:rPr>
        <w:rFonts w:ascii="Arial" w:hAnsi="Arial" w:cs="Arial"/>
        <w:sz w:val="16"/>
        <w:szCs w:val="16"/>
      </w:rPr>
      <w:tab/>
      <w:t xml:space="preserve">Page </w:t>
    </w:r>
    <w:r w:rsidR="00AC44E6" w:rsidRPr="00175C40">
      <w:rPr>
        <w:rFonts w:ascii="Arial" w:hAnsi="Arial" w:cs="Arial"/>
        <w:sz w:val="16"/>
        <w:szCs w:val="16"/>
      </w:rPr>
      <w:fldChar w:fldCharType="begin"/>
    </w:r>
    <w:r w:rsidRPr="00175C40">
      <w:rPr>
        <w:rFonts w:ascii="Arial" w:hAnsi="Arial" w:cs="Arial"/>
        <w:sz w:val="16"/>
        <w:szCs w:val="16"/>
      </w:rPr>
      <w:instrText xml:space="preserve"> PAGE  \* Arabic  \* MERGEFORMAT </w:instrText>
    </w:r>
    <w:r w:rsidR="00AC44E6" w:rsidRPr="00175C40">
      <w:rPr>
        <w:rFonts w:ascii="Arial" w:hAnsi="Arial" w:cs="Arial"/>
        <w:sz w:val="16"/>
        <w:szCs w:val="16"/>
      </w:rPr>
      <w:fldChar w:fldCharType="separate"/>
    </w:r>
    <w:r w:rsidR="002A7051">
      <w:rPr>
        <w:rFonts w:ascii="Arial" w:hAnsi="Arial" w:cs="Arial"/>
        <w:noProof/>
        <w:sz w:val="16"/>
        <w:szCs w:val="16"/>
      </w:rPr>
      <w:t>1</w:t>
    </w:r>
    <w:r w:rsidR="00AC44E6" w:rsidRPr="00175C40">
      <w:rPr>
        <w:rFonts w:ascii="Arial" w:hAnsi="Arial" w:cs="Arial"/>
        <w:sz w:val="16"/>
        <w:szCs w:val="16"/>
      </w:rPr>
      <w:fldChar w:fldCharType="end"/>
    </w:r>
    <w:r w:rsidRPr="00175C40">
      <w:rPr>
        <w:rFonts w:ascii="Arial" w:hAnsi="Arial" w:cs="Arial"/>
        <w:sz w:val="16"/>
        <w:szCs w:val="16"/>
      </w:rPr>
      <w:t xml:space="preserve"> of </w:t>
    </w:r>
    <w:r w:rsidR="00F97174">
      <w:fldChar w:fldCharType="begin"/>
    </w:r>
    <w:r w:rsidR="00F97174">
      <w:instrText xml:space="preserve"> NUMPAGES  \* Arabic  \* MERGEFORMAT </w:instrText>
    </w:r>
    <w:r w:rsidR="00F97174">
      <w:fldChar w:fldCharType="separate"/>
    </w:r>
    <w:r w:rsidR="002A7051" w:rsidRPr="002A7051">
      <w:rPr>
        <w:rFonts w:ascii="Arial" w:hAnsi="Arial" w:cs="Arial"/>
        <w:noProof/>
        <w:sz w:val="16"/>
        <w:szCs w:val="16"/>
      </w:rPr>
      <w:t>2</w:t>
    </w:r>
    <w:r w:rsidR="00F97174">
      <w:rPr>
        <w:rFonts w:ascii="Arial" w:hAnsi="Arial" w:cs="Arial"/>
        <w:noProof/>
        <w:sz w:val="16"/>
        <w:szCs w:val="16"/>
      </w:rPr>
      <w:fldChar w:fldCharType="end"/>
    </w:r>
  </w:p>
  <w:p w:rsidR="00175C40" w:rsidRPr="00175C40" w:rsidRDefault="00175C40" w:rsidP="00175C40">
    <w:pPr>
      <w:pStyle w:val="Footer"/>
      <w:tabs>
        <w:tab w:val="clear" w:pos="4680"/>
        <w:tab w:val="clear" w:pos="9360"/>
      </w:tabs>
      <w:rPr>
        <w:rFonts w:ascii="Arial" w:hAnsi="Arial" w:cs="Arial"/>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174" w:rsidRDefault="00F97174" w:rsidP="00175C40">
      <w:r>
        <w:separator/>
      </w:r>
    </w:p>
  </w:footnote>
  <w:footnote w:type="continuationSeparator" w:id="0">
    <w:p w:rsidR="00F97174" w:rsidRDefault="00F97174" w:rsidP="00175C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defaultTabStop w:val="360"/>
  <w:autoHyphenation/>
  <w:consecutiveHyphenLimit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720"/>
    <w:rsid w:val="001329BC"/>
    <w:rsid w:val="00175C40"/>
    <w:rsid w:val="00217859"/>
    <w:rsid w:val="00240D44"/>
    <w:rsid w:val="002A7051"/>
    <w:rsid w:val="00300E58"/>
    <w:rsid w:val="00315CF4"/>
    <w:rsid w:val="00320E6E"/>
    <w:rsid w:val="003C36FE"/>
    <w:rsid w:val="00520987"/>
    <w:rsid w:val="005845E2"/>
    <w:rsid w:val="005B49F7"/>
    <w:rsid w:val="0068273D"/>
    <w:rsid w:val="006B728C"/>
    <w:rsid w:val="00776EB8"/>
    <w:rsid w:val="008B5083"/>
    <w:rsid w:val="008E40A2"/>
    <w:rsid w:val="009378CF"/>
    <w:rsid w:val="00AC44E6"/>
    <w:rsid w:val="00BF6720"/>
    <w:rsid w:val="00C0788E"/>
    <w:rsid w:val="00C4436C"/>
    <w:rsid w:val="00C73903"/>
    <w:rsid w:val="00EF46CD"/>
    <w:rsid w:val="00F30880"/>
    <w:rsid w:val="00F83360"/>
    <w:rsid w:val="00F97174"/>
    <w:rsid w:val="00FB1242"/>
    <w:rsid w:val="00FD0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E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720"/>
    <w:rPr>
      <w:rFonts w:ascii="Tahoma" w:hAnsi="Tahoma" w:cs="Tahoma"/>
      <w:sz w:val="16"/>
      <w:szCs w:val="16"/>
    </w:rPr>
  </w:style>
  <w:style w:type="character" w:customStyle="1" w:styleId="BalloonTextChar">
    <w:name w:val="Balloon Text Char"/>
    <w:basedOn w:val="DefaultParagraphFont"/>
    <w:link w:val="BalloonText"/>
    <w:uiPriority w:val="99"/>
    <w:semiHidden/>
    <w:rsid w:val="00BF6720"/>
    <w:rPr>
      <w:rFonts w:ascii="Tahoma" w:hAnsi="Tahoma" w:cs="Tahoma"/>
      <w:sz w:val="16"/>
      <w:szCs w:val="16"/>
    </w:rPr>
  </w:style>
  <w:style w:type="paragraph" w:styleId="Header">
    <w:name w:val="header"/>
    <w:basedOn w:val="Normal"/>
    <w:link w:val="HeaderChar"/>
    <w:uiPriority w:val="99"/>
    <w:semiHidden/>
    <w:unhideWhenUsed/>
    <w:rsid w:val="00175C40"/>
    <w:pPr>
      <w:tabs>
        <w:tab w:val="center" w:pos="4680"/>
        <w:tab w:val="right" w:pos="9360"/>
      </w:tabs>
    </w:pPr>
  </w:style>
  <w:style w:type="character" w:customStyle="1" w:styleId="HeaderChar">
    <w:name w:val="Header Char"/>
    <w:basedOn w:val="DefaultParagraphFont"/>
    <w:link w:val="Header"/>
    <w:uiPriority w:val="99"/>
    <w:semiHidden/>
    <w:rsid w:val="00175C40"/>
  </w:style>
  <w:style w:type="paragraph" w:styleId="Footer">
    <w:name w:val="footer"/>
    <w:basedOn w:val="Normal"/>
    <w:link w:val="FooterChar"/>
    <w:uiPriority w:val="99"/>
    <w:semiHidden/>
    <w:unhideWhenUsed/>
    <w:rsid w:val="00175C40"/>
    <w:pPr>
      <w:tabs>
        <w:tab w:val="center" w:pos="4680"/>
        <w:tab w:val="right" w:pos="9360"/>
      </w:tabs>
    </w:pPr>
  </w:style>
  <w:style w:type="character" w:customStyle="1" w:styleId="FooterChar">
    <w:name w:val="Footer Char"/>
    <w:basedOn w:val="DefaultParagraphFont"/>
    <w:link w:val="Footer"/>
    <w:uiPriority w:val="99"/>
    <w:semiHidden/>
    <w:rsid w:val="00175C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E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720"/>
    <w:rPr>
      <w:rFonts w:ascii="Tahoma" w:hAnsi="Tahoma" w:cs="Tahoma"/>
      <w:sz w:val="16"/>
      <w:szCs w:val="16"/>
    </w:rPr>
  </w:style>
  <w:style w:type="character" w:customStyle="1" w:styleId="BalloonTextChar">
    <w:name w:val="Balloon Text Char"/>
    <w:basedOn w:val="DefaultParagraphFont"/>
    <w:link w:val="BalloonText"/>
    <w:uiPriority w:val="99"/>
    <w:semiHidden/>
    <w:rsid w:val="00BF6720"/>
    <w:rPr>
      <w:rFonts w:ascii="Tahoma" w:hAnsi="Tahoma" w:cs="Tahoma"/>
      <w:sz w:val="16"/>
      <w:szCs w:val="16"/>
    </w:rPr>
  </w:style>
  <w:style w:type="paragraph" w:styleId="Header">
    <w:name w:val="header"/>
    <w:basedOn w:val="Normal"/>
    <w:link w:val="HeaderChar"/>
    <w:uiPriority w:val="99"/>
    <w:semiHidden/>
    <w:unhideWhenUsed/>
    <w:rsid w:val="00175C40"/>
    <w:pPr>
      <w:tabs>
        <w:tab w:val="center" w:pos="4680"/>
        <w:tab w:val="right" w:pos="9360"/>
      </w:tabs>
    </w:pPr>
  </w:style>
  <w:style w:type="character" w:customStyle="1" w:styleId="HeaderChar">
    <w:name w:val="Header Char"/>
    <w:basedOn w:val="DefaultParagraphFont"/>
    <w:link w:val="Header"/>
    <w:uiPriority w:val="99"/>
    <w:semiHidden/>
    <w:rsid w:val="00175C40"/>
  </w:style>
  <w:style w:type="paragraph" w:styleId="Footer">
    <w:name w:val="footer"/>
    <w:basedOn w:val="Normal"/>
    <w:link w:val="FooterChar"/>
    <w:uiPriority w:val="99"/>
    <w:semiHidden/>
    <w:unhideWhenUsed/>
    <w:rsid w:val="00175C40"/>
    <w:pPr>
      <w:tabs>
        <w:tab w:val="center" w:pos="4680"/>
        <w:tab w:val="right" w:pos="9360"/>
      </w:tabs>
    </w:pPr>
  </w:style>
  <w:style w:type="character" w:customStyle="1" w:styleId="FooterChar">
    <w:name w:val="Footer Char"/>
    <w:basedOn w:val="DefaultParagraphFont"/>
    <w:link w:val="Footer"/>
    <w:uiPriority w:val="99"/>
    <w:semiHidden/>
    <w:rsid w:val="00175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POLICYHOLDER DISCLOSURE NOTICE OF TERRORISM INSURANCE COVERAGE</vt:lpstr>
    </vt:vector>
  </TitlesOfParts>
  <Company>Nationwide Insurance</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POLICYHOLDER DISCLOSURE NOTICE OF TERRORISM INSURANCE COVERAGE</dc:title>
  <dc:subject>NOTX0423CW (2-15)</dc:subject>
  <dc:creator>Larissa Hett</dc:creator>
  <cp:lastModifiedBy>Christine Jacobs</cp:lastModifiedBy>
  <cp:revision>2</cp:revision>
  <cp:lastPrinted>2015-02-16T19:17:00Z</cp:lastPrinted>
  <dcterms:created xsi:type="dcterms:W3CDTF">2015-03-30T14:29:00Z</dcterms:created>
  <dcterms:modified xsi:type="dcterms:W3CDTF">2015-03-30T14:29:00Z</dcterms:modified>
</cp:coreProperties>
</file>